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80EBF" w14:textId="77777777" w:rsidR="00955682" w:rsidRDefault="00955682" w:rsidP="00955682"/>
    <w:tbl>
      <w:tblPr>
        <w:tblStyle w:val="TableGrid"/>
        <w:tblW w:w="0" w:type="auto"/>
        <w:tblLook w:val="04A0" w:firstRow="1" w:lastRow="0" w:firstColumn="1" w:lastColumn="0" w:noHBand="0" w:noVBand="1"/>
      </w:tblPr>
      <w:tblGrid>
        <w:gridCol w:w="4675"/>
        <w:gridCol w:w="4675"/>
      </w:tblGrid>
      <w:tr w:rsidR="00955682" w14:paraId="2B8C9CC1" w14:textId="77777777" w:rsidTr="00D67016">
        <w:tc>
          <w:tcPr>
            <w:tcW w:w="4675" w:type="dxa"/>
          </w:tcPr>
          <w:p w14:paraId="49520E37" w14:textId="77777777" w:rsidR="00955682" w:rsidRPr="00D847A8" w:rsidRDefault="00955682" w:rsidP="00D67016">
            <w:pPr>
              <w:rPr>
                <w:b/>
                <w:bCs/>
              </w:rPr>
            </w:pPr>
            <w:r w:rsidRPr="00D847A8">
              <w:rPr>
                <w:rFonts w:ascii="Calibri" w:eastAsia="Calibri" w:hAnsi="Calibri" w:cs="Calibri"/>
                <w:b/>
                <w:bCs/>
              </w:rPr>
              <w:t>Location</w:t>
            </w:r>
          </w:p>
        </w:tc>
        <w:tc>
          <w:tcPr>
            <w:tcW w:w="4675" w:type="dxa"/>
          </w:tcPr>
          <w:p w14:paraId="6BF8316A" w14:textId="5C30CBE8" w:rsidR="00955682" w:rsidRPr="00D847A8" w:rsidRDefault="00955682" w:rsidP="00D67016">
            <w:pPr>
              <w:rPr>
                <w:b/>
                <w:bCs/>
              </w:rPr>
            </w:pPr>
            <w:r w:rsidRPr="00D847A8">
              <w:rPr>
                <w:b/>
                <w:bCs/>
              </w:rPr>
              <w:t>Iraq</w:t>
            </w:r>
          </w:p>
        </w:tc>
      </w:tr>
      <w:tr w:rsidR="00955682" w14:paraId="0E566AA4" w14:textId="77777777" w:rsidTr="00D67016">
        <w:trPr>
          <w:trHeight w:val="368"/>
        </w:trPr>
        <w:tc>
          <w:tcPr>
            <w:tcW w:w="4675" w:type="dxa"/>
          </w:tcPr>
          <w:p w14:paraId="4C666BA8" w14:textId="77777777" w:rsidR="00955682" w:rsidRPr="00D847A8" w:rsidRDefault="00955682" w:rsidP="00D67016">
            <w:pPr>
              <w:rPr>
                <w:rFonts w:ascii="Calibri" w:eastAsia="Calibri" w:hAnsi="Calibri" w:cs="Calibri"/>
                <w:b/>
                <w:bCs/>
              </w:rPr>
            </w:pPr>
            <w:r w:rsidRPr="00D847A8">
              <w:rPr>
                <w:rFonts w:ascii="Calibri" w:eastAsia="Calibri" w:hAnsi="Calibri" w:cs="Calibri"/>
                <w:b/>
                <w:bCs/>
              </w:rPr>
              <w:t xml:space="preserve">Level of Urgency </w:t>
            </w:r>
          </w:p>
        </w:tc>
        <w:tc>
          <w:tcPr>
            <w:tcW w:w="4675" w:type="dxa"/>
          </w:tcPr>
          <w:p w14:paraId="103CFA2E" w14:textId="77777777" w:rsidR="00955682" w:rsidRPr="00D847A8" w:rsidRDefault="00955682" w:rsidP="00D67016">
            <w:pPr>
              <w:rPr>
                <w:b/>
                <w:bCs/>
              </w:rPr>
            </w:pPr>
            <w:r w:rsidRPr="00D847A8">
              <w:rPr>
                <w:b/>
                <w:bCs/>
              </w:rPr>
              <w:t xml:space="preserve">High Priority  </w:t>
            </w:r>
          </w:p>
        </w:tc>
      </w:tr>
      <w:tr w:rsidR="00955682" w14:paraId="7A2CAFC0" w14:textId="77777777" w:rsidTr="00D67016">
        <w:trPr>
          <w:trHeight w:val="368"/>
        </w:trPr>
        <w:tc>
          <w:tcPr>
            <w:tcW w:w="4675" w:type="dxa"/>
          </w:tcPr>
          <w:p w14:paraId="2445C456" w14:textId="69889655" w:rsidR="00955682" w:rsidRPr="00D847A8" w:rsidRDefault="00D27BA0" w:rsidP="00D67016">
            <w:pPr>
              <w:rPr>
                <w:b/>
                <w:bCs/>
              </w:rPr>
            </w:pPr>
            <w:r w:rsidRPr="00D847A8">
              <w:rPr>
                <w:rFonts w:ascii="Calibri" w:eastAsia="Calibri" w:hAnsi="Calibri" w:cs="Calibri"/>
                <w:b/>
                <w:bCs/>
              </w:rPr>
              <w:t xml:space="preserve">IOM Preferred Delivery Timeline </w:t>
            </w:r>
          </w:p>
        </w:tc>
        <w:tc>
          <w:tcPr>
            <w:tcW w:w="4675" w:type="dxa"/>
          </w:tcPr>
          <w:p w14:paraId="2389D7E8" w14:textId="6F112A1D" w:rsidR="00955682" w:rsidRPr="00D847A8" w:rsidRDefault="00D27BA0" w:rsidP="00D67016">
            <w:pPr>
              <w:rPr>
                <w:b/>
                <w:bCs/>
              </w:rPr>
            </w:pPr>
            <w:r w:rsidRPr="00D847A8">
              <w:rPr>
                <w:b/>
                <w:bCs/>
              </w:rPr>
              <w:t xml:space="preserve">4-6 weeks </w:t>
            </w:r>
          </w:p>
        </w:tc>
      </w:tr>
      <w:tr w:rsidR="007E751F" w14:paraId="07235427" w14:textId="77777777" w:rsidTr="00D67016">
        <w:trPr>
          <w:trHeight w:val="368"/>
        </w:trPr>
        <w:tc>
          <w:tcPr>
            <w:tcW w:w="4675" w:type="dxa"/>
          </w:tcPr>
          <w:p w14:paraId="51C5B1B1" w14:textId="0B34166A" w:rsidR="007E751F" w:rsidRPr="00D847A8" w:rsidRDefault="007E751F" w:rsidP="00D67016">
            <w:pPr>
              <w:rPr>
                <w:rFonts w:ascii="Calibri" w:eastAsia="Calibri" w:hAnsi="Calibri" w:cs="Calibri"/>
                <w:b/>
                <w:bCs/>
              </w:rPr>
            </w:pPr>
            <w:r w:rsidRPr="007E751F">
              <w:rPr>
                <w:rFonts w:ascii="Calibri" w:eastAsia="Calibri" w:hAnsi="Calibri" w:cs="Calibri"/>
                <w:b/>
                <w:bCs/>
              </w:rPr>
              <w:t>RFP Reference No.:</w:t>
            </w:r>
          </w:p>
        </w:tc>
        <w:tc>
          <w:tcPr>
            <w:tcW w:w="4675" w:type="dxa"/>
          </w:tcPr>
          <w:p w14:paraId="283EAA98" w14:textId="7689D09F" w:rsidR="007E751F" w:rsidRPr="00D847A8" w:rsidRDefault="007E751F" w:rsidP="00D67016">
            <w:pPr>
              <w:rPr>
                <w:b/>
                <w:bCs/>
              </w:rPr>
            </w:pPr>
            <w:r w:rsidRPr="007E751F">
              <w:rPr>
                <w:b/>
                <w:bCs/>
              </w:rPr>
              <w:t>20</w:t>
            </w:r>
            <w:r w:rsidR="00FE027D">
              <w:rPr>
                <w:b/>
                <w:bCs/>
              </w:rPr>
              <w:t>22</w:t>
            </w:r>
            <w:r w:rsidRPr="007E751F">
              <w:rPr>
                <w:b/>
                <w:bCs/>
              </w:rPr>
              <w:t>/ERB/</w:t>
            </w:r>
            <w:r>
              <w:rPr>
                <w:b/>
                <w:bCs/>
              </w:rPr>
              <w:t>FMR</w:t>
            </w:r>
            <w:r w:rsidRPr="007E751F">
              <w:rPr>
                <w:b/>
                <w:bCs/>
              </w:rPr>
              <w:t>/</w:t>
            </w:r>
            <w:r>
              <w:rPr>
                <w:b/>
                <w:bCs/>
              </w:rPr>
              <w:t>07-25</w:t>
            </w:r>
          </w:p>
        </w:tc>
      </w:tr>
      <w:tr w:rsidR="00F76482" w14:paraId="0BA9BE73" w14:textId="77777777" w:rsidTr="0008115B">
        <w:trPr>
          <w:trHeight w:val="368"/>
        </w:trPr>
        <w:tc>
          <w:tcPr>
            <w:tcW w:w="9350" w:type="dxa"/>
            <w:gridSpan w:val="2"/>
          </w:tcPr>
          <w:p w14:paraId="1C8503DB" w14:textId="1CB0A510" w:rsidR="00D80662" w:rsidRDefault="00D80662" w:rsidP="00D80662">
            <w:pPr>
              <w:spacing w:line="20" w:lineRule="atLeast"/>
            </w:pPr>
          </w:p>
          <w:p w14:paraId="32E9AB8E" w14:textId="3330C5F1" w:rsidR="00F76482" w:rsidRDefault="00F76482" w:rsidP="002C208C">
            <w:pPr>
              <w:spacing w:line="20" w:lineRule="atLeast"/>
              <w:jc w:val="both"/>
            </w:pPr>
            <w:r w:rsidRPr="00D80662">
              <w:t xml:space="preserve">This call is open to all </w:t>
            </w:r>
            <w:r w:rsidR="00F76FB0" w:rsidRPr="009D0A33">
              <w:t xml:space="preserve">professional </w:t>
            </w:r>
            <w:r w:rsidR="00F76FB0" w:rsidRPr="002A7EBD">
              <w:t>leading consulting firms for Transport &amp; Logistics services</w:t>
            </w:r>
            <w:r w:rsidR="00F76FB0">
              <w:t xml:space="preserve"> that at least have five (5) years’ experience in Fleet Management</w:t>
            </w:r>
            <w:r w:rsidR="00FE027D">
              <w:t xml:space="preserve"> Review</w:t>
            </w:r>
            <w:r w:rsidR="00F76FB0">
              <w:t xml:space="preserve"> and provide at least three (3) References of similar work.</w:t>
            </w:r>
          </w:p>
          <w:p w14:paraId="05F964D9" w14:textId="35F1B177" w:rsidR="00D80662" w:rsidRPr="00D80662" w:rsidRDefault="00D80662" w:rsidP="00D80662">
            <w:pPr>
              <w:spacing w:line="20" w:lineRule="atLeast"/>
            </w:pPr>
          </w:p>
          <w:p w14:paraId="3A272B02" w14:textId="3C1D9739" w:rsidR="0071646D" w:rsidRPr="00D80662" w:rsidRDefault="0071646D" w:rsidP="00C56601">
            <w:pPr>
              <w:pStyle w:val="NormalWeb"/>
              <w:jc w:val="both"/>
              <w:rPr>
                <w:rFonts w:cstheme="minorBidi"/>
              </w:rPr>
            </w:pPr>
          </w:p>
        </w:tc>
      </w:tr>
      <w:tr w:rsidR="00955682" w14:paraId="285D14F5" w14:textId="77777777" w:rsidTr="00D67016">
        <w:tc>
          <w:tcPr>
            <w:tcW w:w="9350" w:type="dxa"/>
            <w:gridSpan w:val="2"/>
            <w:shd w:val="clear" w:color="auto" w:fill="D9D9D9" w:themeFill="background1" w:themeFillShade="D9"/>
            <w:vAlign w:val="center"/>
          </w:tcPr>
          <w:p w14:paraId="1F5F5C1A" w14:textId="6CCEAFAC" w:rsidR="00955682" w:rsidRPr="00D847A8" w:rsidRDefault="00021012" w:rsidP="00D847A8">
            <w:pPr>
              <w:pStyle w:val="ListParagraph"/>
              <w:numPr>
                <w:ilvl w:val="0"/>
                <w:numId w:val="7"/>
              </w:numPr>
              <w:rPr>
                <w:b/>
                <w:bCs/>
              </w:rPr>
            </w:pPr>
            <w:r w:rsidRPr="00D847A8">
              <w:rPr>
                <w:rFonts w:ascii="Calibri" w:eastAsia="Calibri" w:hAnsi="Calibri" w:cs="Calibri"/>
                <w:b/>
                <w:bCs/>
              </w:rPr>
              <w:t>Background</w:t>
            </w:r>
          </w:p>
        </w:tc>
      </w:tr>
      <w:tr w:rsidR="00955682" w14:paraId="32DCE459" w14:textId="77777777" w:rsidTr="00D67016">
        <w:trPr>
          <w:trHeight w:val="2977"/>
        </w:trPr>
        <w:tc>
          <w:tcPr>
            <w:tcW w:w="9350" w:type="dxa"/>
            <w:gridSpan w:val="2"/>
          </w:tcPr>
          <w:p w14:paraId="15F9C7BC" w14:textId="4FB73A4B" w:rsidR="00955682" w:rsidRPr="002C139E" w:rsidRDefault="00955682" w:rsidP="00D67016">
            <w:pPr>
              <w:jc w:val="both"/>
            </w:pPr>
            <w:r w:rsidRPr="002C139E">
              <w:t>Established in 1951, the International Organization for Migration (IOM) is the leading United Nations Migration Agency in the field of migration that works closely with governmental, intergovernmental, and non-governmental partners. IOM ensures the orderly and humane management of migration, promote international cooperation on migration issues, assist in the search for practical solutions to migration problems, and provide humanitarian assistance to migrants in need including refugees and Internally Displaced Persons (IDPs).</w:t>
            </w:r>
          </w:p>
          <w:p w14:paraId="2A702AC6" w14:textId="77777777" w:rsidR="00955682" w:rsidRDefault="00955682" w:rsidP="00D67016">
            <w:pPr>
              <w:jc w:val="both"/>
            </w:pPr>
          </w:p>
          <w:p w14:paraId="2C25BF9A" w14:textId="509E7040" w:rsidR="00955682" w:rsidRDefault="00955682" w:rsidP="00D67016">
            <w:pPr>
              <w:jc w:val="both"/>
            </w:pPr>
            <w:r>
              <w:t>The International Organization for Migration (</w:t>
            </w:r>
            <w:r w:rsidR="00D27BA0">
              <w:t>IOM) in</w:t>
            </w:r>
            <w:r>
              <w:t xml:space="preserve"> Iraq, w</w:t>
            </w:r>
            <w:r w:rsidRPr="0096463E">
              <w:t xml:space="preserve">ithin fragile security environment, operates a multi-sectoral response that includes the provision of camp management and camp coordination, shelter and infrastructure rehabilitation, health care, mental health and psycho-social support services, livelihood assistance, </w:t>
            </w:r>
            <w:r w:rsidR="00D27BA0" w:rsidRPr="0096463E">
              <w:t>protection,</w:t>
            </w:r>
            <w:r w:rsidRPr="0096463E">
              <w:t xml:space="preserve"> and support for national migration policy development. </w:t>
            </w:r>
            <w:r>
              <w:t>IOM Iraq while operating to achieve its goals of the stated activities operate and use vehicles rented from third parties for IOM staff members with a total number that range between 2</w:t>
            </w:r>
            <w:r w:rsidR="00D847A8">
              <w:t>5</w:t>
            </w:r>
            <w:r>
              <w:t>0 to 3</w:t>
            </w:r>
            <w:r w:rsidR="00D847A8">
              <w:t>5</w:t>
            </w:r>
            <w:r>
              <w:t xml:space="preserve">0 </w:t>
            </w:r>
            <w:r w:rsidR="00D27BA0">
              <w:t>vehicles</w:t>
            </w:r>
            <w:r>
              <w:t xml:space="preserve"> </w:t>
            </w:r>
            <w:proofErr w:type="gramStart"/>
            <w:r>
              <w:t>on a monthly basis</w:t>
            </w:r>
            <w:proofErr w:type="gramEnd"/>
            <w:r>
              <w:t xml:space="preserve"> in all over Iraq for different offices and for different </w:t>
            </w:r>
            <w:proofErr w:type="spellStart"/>
            <w:r>
              <w:t>progrmme</w:t>
            </w:r>
            <w:proofErr w:type="spellEnd"/>
            <w:r>
              <w:t xml:space="preserve"> units.</w:t>
            </w:r>
          </w:p>
          <w:p w14:paraId="3F345056" w14:textId="77777777" w:rsidR="00955682" w:rsidRDefault="00955682" w:rsidP="00D67016">
            <w:pPr>
              <w:jc w:val="both"/>
            </w:pPr>
          </w:p>
          <w:p w14:paraId="45292DFF" w14:textId="45909278" w:rsidR="00955682" w:rsidRDefault="00955682" w:rsidP="00D67016">
            <w:pPr>
              <w:jc w:val="both"/>
            </w:pPr>
            <w:r w:rsidRPr="009D0A33">
              <w:t xml:space="preserve">IOM is looking for a professional </w:t>
            </w:r>
            <w:r w:rsidRPr="002A7EBD">
              <w:t>leading consulting firms for Transport &amp; Logistics services</w:t>
            </w:r>
            <w:r>
              <w:t xml:space="preserve"> that can do an overall evaluation of the organization’s </w:t>
            </w:r>
            <w:r w:rsidR="0071646D">
              <w:t xml:space="preserve">current </w:t>
            </w:r>
            <w:r>
              <w:t xml:space="preserve">decentralized fleet management practices of their </w:t>
            </w:r>
            <w:r w:rsidR="00D27BA0">
              <w:t>third-party</w:t>
            </w:r>
            <w:r>
              <w:t xml:space="preserve"> vehicles and cover shortcomings, costs and benefits and </w:t>
            </w:r>
            <w:r w:rsidR="00D27BA0">
              <w:t>disadvantages</w:t>
            </w:r>
            <w:r>
              <w:t xml:space="preserve"> and provide </w:t>
            </w:r>
            <w:r w:rsidR="00D27BA0">
              <w:t>recommendation</w:t>
            </w:r>
            <w:r>
              <w:t xml:space="preserve"> in line with the scope of this Terms of Reference.</w:t>
            </w:r>
          </w:p>
          <w:p w14:paraId="54FAC177" w14:textId="2175F448" w:rsidR="00580DBC" w:rsidRDefault="00580DBC" w:rsidP="00D67016">
            <w:pPr>
              <w:jc w:val="both"/>
            </w:pPr>
          </w:p>
        </w:tc>
      </w:tr>
      <w:tr w:rsidR="007E751F" w14:paraId="59C8C512" w14:textId="77777777" w:rsidTr="00D67016">
        <w:tc>
          <w:tcPr>
            <w:tcW w:w="9350" w:type="dxa"/>
            <w:gridSpan w:val="2"/>
            <w:shd w:val="clear" w:color="auto" w:fill="D9D9D9" w:themeFill="background1" w:themeFillShade="D9"/>
          </w:tcPr>
          <w:p w14:paraId="30557726" w14:textId="5E49E7CF" w:rsidR="007E751F" w:rsidRPr="00FE027D" w:rsidRDefault="007E751F" w:rsidP="00FE027D">
            <w:pPr>
              <w:rPr>
                <w:rFonts w:ascii="Calibri" w:eastAsia="Calibri" w:hAnsi="Calibri" w:cs="Calibri"/>
                <w:b/>
                <w:bCs/>
              </w:rPr>
            </w:pPr>
            <w:r w:rsidRPr="00FE027D">
              <w:rPr>
                <w:rFonts w:ascii="Calibri" w:eastAsia="Calibri" w:hAnsi="Calibri" w:cs="Calibri"/>
                <w:b/>
                <w:bCs/>
              </w:rPr>
              <w:t>SCOPE</w:t>
            </w:r>
            <w:r w:rsidRPr="00FE027D">
              <w:rPr>
                <w:rFonts w:ascii="Calibri" w:eastAsia="Calibri" w:hAnsi="Calibri" w:cs="Calibri"/>
                <w:b/>
                <w:bCs/>
                <w:spacing w:val="-6"/>
              </w:rPr>
              <w:t xml:space="preserve"> </w:t>
            </w:r>
            <w:r w:rsidRPr="00FE027D">
              <w:rPr>
                <w:rFonts w:ascii="Calibri" w:eastAsia="Calibri" w:hAnsi="Calibri" w:cs="Calibri"/>
                <w:b/>
                <w:bCs/>
              </w:rPr>
              <w:t>OF</w:t>
            </w:r>
            <w:r w:rsidRPr="00FE027D">
              <w:rPr>
                <w:rFonts w:ascii="Calibri" w:eastAsia="Calibri" w:hAnsi="Calibri" w:cs="Calibri"/>
                <w:b/>
                <w:bCs/>
                <w:spacing w:val="-2"/>
              </w:rPr>
              <w:t xml:space="preserve"> </w:t>
            </w:r>
            <w:r w:rsidRPr="00FE027D">
              <w:rPr>
                <w:rFonts w:ascii="Calibri" w:eastAsia="Calibri" w:hAnsi="Calibri" w:cs="Calibri"/>
                <w:b/>
                <w:bCs/>
              </w:rPr>
              <w:t>WORK</w:t>
            </w:r>
            <w:r w:rsidRPr="00FE027D">
              <w:rPr>
                <w:rFonts w:ascii="Calibri" w:eastAsia="Calibri" w:hAnsi="Calibri" w:cs="Calibri"/>
                <w:b/>
                <w:bCs/>
                <w:spacing w:val="-5"/>
              </w:rPr>
              <w:t xml:space="preserve"> </w:t>
            </w:r>
            <w:r w:rsidRPr="00FE027D">
              <w:rPr>
                <w:rFonts w:ascii="Calibri" w:eastAsia="Calibri" w:hAnsi="Calibri" w:cs="Calibri"/>
                <w:b/>
                <w:bCs/>
              </w:rPr>
              <w:t>AND</w:t>
            </w:r>
            <w:r w:rsidRPr="00FE027D">
              <w:rPr>
                <w:rFonts w:ascii="Calibri" w:eastAsia="Calibri" w:hAnsi="Calibri" w:cs="Calibri"/>
                <w:b/>
                <w:bCs/>
                <w:spacing w:val="-4"/>
              </w:rPr>
              <w:t xml:space="preserve"> </w:t>
            </w:r>
            <w:r w:rsidRPr="00FE027D">
              <w:rPr>
                <w:rFonts w:ascii="Calibri" w:eastAsia="Calibri" w:hAnsi="Calibri" w:cs="Calibri"/>
                <w:b/>
                <w:bCs/>
              </w:rPr>
              <w:t>RESPON</w:t>
            </w:r>
            <w:r w:rsidRPr="00FE027D">
              <w:rPr>
                <w:rFonts w:ascii="Calibri" w:eastAsia="Calibri" w:hAnsi="Calibri" w:cs="Calibri"/>
                <w:b/>
                <w:bCs/>
                <w:spacing w:val="1"/>
              </w:rPr>
              <w:t>S</w:t>
            </w:r>
            <w:r w:rsidRPr="00FE027D">
              <w:rPr>
                <w:rFonts w:ascii="Calibri" w:eastAsia="Calibri" w:hAnsi="Calibri" w:cs="Calibri"/>
                <w:b/>
                <w:bCs/>
              </w:rPr>
              <w:t>IBILI</w:t>
            </w:r>
            <w:r w:rsidRPr="00FE027D">
              <w:rPr>
                <w:rFonts w:ascii="Calibri" w:eastAsia="Calibri" w:hAnsi="Calibri" w:cs="Calibri"/>
                <w:b/>
                <w:bCs/>
                <w:spacing w:val="1"/>
              </w:rPr>
              <w:t>TI</w:t>
            </w:r>
            <w:r w:rsidRPr="00FE027D">
              <w:rPr>
                <w:rFonts w:ascii="Calibri" w:eastAsia="Calibri" w:hAnsi="Calibri" w:cs="Calibri"/>
                <w:b/>
                <w:bCs/>
              </w:rPr>
              <w:t>ES</w:t>
            </w:r>
          </w:p>
        </w:tc>
      </w:tr>
      <w:tr w:rsidR="007E751F" w14:paraId="3F320748" w14:textId="77777777" w:rsidTr="00D67016">
        <w:trPr>
          <w:trHeight w:val="971"/>
        </w:trPr>
        <w:tc>
          <w:tcPr>
            <w:tcW w:w="9350" w:type="dxa"/>
            <w:gridSpan w:val="2"/>
          </w:tcPr>
          <w:p w14:paraId="0B56C9A7" w14:textId="77777777" w:rsidR="007E751F" w:rsidRPr="00D847A8" w:rsidRDefault="007E751F" w:rsidP="007E751F">
            <w:pPr>
              <w:pStyle w:val="ListParagraph"/>
              <w:numPr>
                <w:ilvl w:val="0"/>
                <w:numId w:val="7"/>
              </w:numPr>
              <w:spacing w:before="85"/>
              <w:ind w:right="-20"/>
              <w:rPr>
                <w:rFonts w:ascii="Calibri" w:eastAsia="Calibri" w:hAnsi="Calibri" w:cs="Calibri"/>
              </w:rPr>
            </w:pPr>
            <w:r w:rsidRPr="00D847A8">
              <w:rPr>
                <w:rFonts w:ascii="Calibri" w:eastAsia="Calibri" w:hAnsi="Calibri" w:cs="Calibri"/>
                <w:b/>
                <w:bCs/>
              </w:rPr>
              <w:t>RESPONSIBILITIES</w:t>
            </w:r>
          </w:p>
          <w:p w14:paraId="1B82BAF3" w14:textId="77777777" w:rsidR="007E751F" w:rsidRDefault="007E751F" w:rsidP="007E751F">
            <w:pPr>
              <w:ind w:right="509"/>
              <w:rPr>
                <w:rFonts w:ascii="Calibri" w:eastAsia="Calibri" w:hAnsi="Calibri" w:cs="Calibri"/>
              </w:rPr>
            </w:pPr>
          </w:p>
          <w:p w14:paraId="086310D3" w14:textId="13C95AAB" w:rsidR="007E751F" w:rsidRDefault="007E751F" w:rsidP="007E751F">
            <w:pPr>
              <w:jc w:val="both"/>
            </w:pPr>
            <w:r>
              <w:t>IOM Iraq is seeking an experienced consulting firm to perform a Fleet Management Review addressing the below components</w:t>
            </w:r>
            <w:r w:rsidR="00027CDD">
              <w:t>:</w:t>
            </w:r>
          </w:p>
          <w:p w14:paraId="39985F03" w14:textId="77777777" w:rsidR="007E751F" w:rsidRDefault="007E751F" w:rsidP="007E751F">
            <w:pPr>
              <w:jc w:val="both"/>
            </w:pPr>
          </w:p>
          <w:p w14:paraId="5FDF0D3A" w14:textId="36EA2301" w:rsidR="007E751F" w:rsidRDefault="007E751F" w:rsidP="007E751F">
            <w:pPr>
              <w:pStyle w:val="ListParagraph"/>
              <w:numPr>
                <w:ilvl w:val="0"/>
                <w:numId w:val="6"/>
              </w:numPr>
              <w:jc w:val="both"/>
            </w:pPr>
            <w:r>
              <w:t>An Analytical Assessment of IOM Iraq’s existing fleet and best exit strategy.</w:t>
            </w:r>
          </w:p>
          <w:p w14:paraId="7B45127B" w14:textId="5DAE798B" w:rsidR="007E751F" w:rsidRDefault="007E751F" w:rsidP="007E751F">
            <w:pPr>
              <w:pStyle w:val="ListParagraph"/>
              <w:numPr>
                <w:ilvl w:val="0"/>
                <w:numId w:val="6"/>
              </w:numPr>
              <w:jc w:val="both"/>
            </w:pPr>
            <w:r>
              <w:lastRenderedPageBreak/>
              <w:t>An Analytical Assessment of IOM Iraq’s new fleet management under consideration.</w:t>
            </w:r>
          </w:p>
          <w:p w14:paraId="2285376E" w14:textId="7555C090" w:rsidR="007E751F" w:rsidRPr="006A44FB" w:rsidRDefault="007E751F" w:rsidP="007E751F">
            <w:pPr>
              <w:pStyle w:val="ListParagraph"/>
              <w:numPr>
                <w:ilvl w:val="0"/>
                <w:numId w:val="6"/>
              </w:numPr>
              <w:jc w:val="both"/>
            </w:pPr>
            <w:r w:rsidRPr="006A44FB">
              <w:t xml:space="preserve">Report/Recommend Best Practices and </w:t>
            </w:r>
            <w:r w:rsidR="00E5395B">
              <w:t xml:space="preserve">new </w:t>
            </w:r>
            <w:r w:rsidRPr="006A44FB">
              <w:t>Fleet Management Solution</w:t>
            </w:r>
            <w:r w:rsidR="00E5395B">
              <w:t xml:space="preserve"> and associated risks mitigation</w:t>
            </w:r>
            <w:r w:rsidRPr="006A44FB">
              <w:t>.</w:t>
            </w:r>
          </w:p>
          <w:p w14:paraId="63A0951C" w14:textId="79C171DE" w:rsidR="007E751F" w:rsidRDefault="007E751F" w:rsidP="007E751F">
            <w:pPr>
              <w:pStyle w:val="ListParagraph"/>
              <w:numPr>
                <w:ilvl w:val="0"/>
                <w:numId w:val="6"/>
              </w:numPr>
              <w:jc w:val="both"/>
            </w:pPr>
            <w:r>
              <w:t>Report/Recommend Fleet management software</w:t>
            </w:r>
            <w:r w:rsidR="007476A9">
              <w:t xml:space="preserve"> </w:t>
            </w:r>
            <w:r w:rsidR="00027CDD">
              <w:t xml:space="preserve">(WFP </w:t>
            </w:r>
            <w:r w:rsidR="00027CDD" w:rsidRPr="00027CDD">
              <w:t>FleetWave</w:t>
            </w:r>
            <w:r w:rsidR="00027CDD">
              <w:t xml:space="preserve">, IOM Turkey FMS, WFP </w:t>
            </w:r>
            <w:r w:rsidR="00027CDD" w:rsidRPr="00027CDD">
              <w:t>Humanitarian Booking Hub</w:t>
            </w:r>
            <w:r w:rsidR="00027CDD">
              <w:t xml:space="preserve">, </w:t>
            </w:r>
            <w:r w:rsidR="007476A9">
              <w:t>Book&amp;Move by CLC and/or any other systems).</w:t>
            </w:r>
          </w:p>
          <w:p w14:paraId="2CEB2DBE" w14:textId="77777777" w:rsidR="007E751F" w:rsidRDefault="007E751F" w:rsidP="007E751F">
            <w:pPr>
              <w:spacing w:before="1" w:line="180" w:lineRule="exact"/>
              <w:jc w:val="both"/>
              <w:rPr>
                <w:sz w:val="18"/>
                <w:szCs w:val="18"/>
              </w:rPr>
            </w:pPr>
          </w:p>
          <w:p w14:paraId="5546AFA5" w14:textId="77777777" w:rsidR="007E751F" w:rsidRPr="00FA01A6" w:rsidRDefault="007E751F" w:rsidP="007E751F">
            <w:pPr>
              <w:ind w:right="509"/>
              <w:jc w:val="both"/>
              <w:rPr>
                <w:rFonts w:ascii="Calibri" w:eastAsia="Calibri" w:hAnsi="Calibri" w:cs="Calibri"/>
              </w:rPr>
            </w:pPr>
          </w:p>
          <w:p w14:paraId="13CD386E" w14:textId="77777777" w:rsidR="007E751F" w:rsidRPr="00BF314D" w:rsidRDefault="007E751F" w:rsidP="007E751F">
            <w:pPr>
              <w:pStyle w:val="ListParagraph"/>
              <w:numPr>
                <w:ilvl w:val="0"/>
                <w:numId w:val="7"/>
              </w:numPr>
              <w:ind w:right="-20"/>
              <w:jc w:val="both"/>
              <w:rPr>
                <w:rFonts w:ascii="Calibri" w:eastAsia="Calibri" w:hAnsi="Calibri" w:cs="Calibri"/>
              </w:rPr>
            </w:pPr>
            <w:r w:rsidRPr="00BF314D">
              <w:rPr>
                <w:rFonts w:ascii="Calibri" w:eastAsia="Calibri" w:hAnsi="Calibri" w:cs="Calibri"/>
                <w:b/>
                <w:bCs/>
              </w:rPr>
              <w:t>SCOPE</w:t>
            </w:r>
            <w:r w:rsidRPr="00BF314D">
              <w:rPr>
                <w:rFonts w:ascii="Calibri" w:eastAsia="Calibri" w:hAnsi="Calibri" w:cs="Calibri"/>
                <w:b/>
                <w:bCs/>
                <w:spacing w:val="-6"/>
              </w:rPr>
              <w:t xml:space="preserve"> </w:t>
            </w:r>
            <w:r w:rsidRPr="00BF314D">
              <w:rPr>
                <w:rFonts w:ascii="Calibri" w:eastAsia="Calibri" w:hAnsi="Calibri" w:cs="Calibri"/>
                <w:b/>
                <w:bCs/>
              </w:rPr>
              <w:t>OF</w:t>
            </w:r>
            <w:r w:rsidRPr="00BF314D">
              <w:rPr>
                <w:rFonts w:ascii="Calibri" w:eastAsia="Calibri" w:hAnsi="Calibri" w:cs="Calibri"/>
                <w:b/>
                <w:bCs/>
                <w:spacing w:val="-2"/>
              </w:rPr>
              <w:t xml:space="preserve"> </w:t>
            </w:r>
            <w:r w:rsidRPr="00BF314D">
              <w:rPr>
                <w:rFonts w:ascii="Calibri" w:eastAsia="Calibri" w:hAnsi="Calibri" w:cs="Calibri"/>
                <w:b/>
                <w:bCs/>
              </w:rPr>
              <w:t>WORK</w:t>
            </w:r>
          </w:p>
          <w:p w14:paraId="42FA89E9" w14:textId="77777777" w:rsidR="007E751F" w:rsidRPr="00FA01A6" w:rsidRDefault="007E751F" w:rsidP="007E751F">
            <w:pPr>
              <w:ind w:right="509"/>
              <w:jc w:val="both"/>
              <w:rPr>
                <w:rFonts w:ascii="Calibri" w:eastAsia="Calibri" w:hAnsi="Calibri" w:cs="Calibri"/>
              </w:rPr>
            </w:pPr>
          </w:p>
          <w:p w14:paraId="4831A414" w14:textId="36279F79" w:rsidR="007E751F" w:rsidRDefault="007E751F" w:rsidP="007E751F">
            <w:pPr>
              <w:jc w:val="both"/>
            </w:pPr>
            <w:r>
              <w:t xml:space="preserve">IOM to looking to enhance its fleet management by exiting the current methodology used and adopt a new fleet management approach &amp; practices with the aim of covering shortcomings and centralize fleet management to IOM Iraq Logistic Unit instead of Programme Units and to determine the most effective </w:t>
            </w:r>
            <w:proofErr w:type="gramStart"/>
            <w:r>
              <w:t>manner in which</w:t>
            </w:r>
            <w:proofErr w:type="gramEnd"/>
            <w:r>
              <w:t xml:space="preserve"> to provide fleet services to the 250-300 third-party vehicles required to support IOM Iraq operations and incorporate best practices. </w:t>
            </w:r>
            <w:r w:rsidR="00E5395B">
              <w:t xml:space="preserve">Also, to identify the risks associated with such change and provide recommendation how to mitigate them. </w:t>
            </w:r>
          </w:p>
          <w:p w14:paraId="78DD5015" w14:textId="77777777" w:rsidR="007E751F" w:rsidRDefault="007E751F" w:rsidP="007E751F">
            <w:pPr>
              <w:jc w:val="both"/>
            </w:pPr>
          </w:p>
          <w:p w14:paraId="7F4E333F" w14:textId="641435C2" w:rsidR="007E751F" w:rsidRDefault="007E751F" w:rsidP="007E751F">
            <w:pPr>
              <w:jc w:val="both"/>
            </w:pPr>
            <w:r>
              <w:t xml:space="preserve">The selected firm will be responsible to submit a comprehensive assessment report covering the above (4) four components mentioned in point 5, and develop a business plan and recommendations regarding the services provided by the Fleet Service to all IOM Iraq different departments and office operating in Iraq upon a review of: </w:t>
            </w:r>
          </w:p>
          <w:p w14:paraId="3E2E7CC2" w14:textId="77777777" w:rsidR="007E751F" w:rsidRDefault="007E751F" w:rsidP="007E751F">
            <w:pPr>
              <w:jc w:val="both"/>
              <w:rPr>
                <w:lang w:bidi="ar-IQ"/>
              </w:rPr>
            </w:pPr>
          </w:p>
          <w:p w14:paraId="7A8107BA" w14:textId="2A630B52" w:rsidR="007E751F" w:rsidRDefault="007E751F" w:rsidP="007E751F">
            <w:pPr>
              <w:pStyle w:val="ListParagraph"/>
              <w:numPr>
                <w:ilvl w:val="0"/>
                <w:numId w:val="8"/>
              </w:numPr>
              <w:jc w:val="both"/>
            </w:pPr>
            <w:r>
              <w:t>IOM Iraq existing fleet management, operational needs, and allocated budget.</w:t>
            </w:r>
          </w:p>
          <w:p w14:paraId="02CDB75C" w14:textId="77777777" w:rsidR="007E751F" w:rsidRDefault="007E751F" w:rsidP="007E751F">
            <w:pPr>
              <w:pStyle w:val="ListParagraph"/>
              <w:numPr>
                <w:ilvl w:val="0"/>
                <w:numId w:val="8"/>
              </w:numPr>
              <w:jc w:val="both"/>
            </w:pPr>
            <w:r>
              <w:t xml:space="preserve">Vehicles rental local market rates, including review of methodology and costing with regards to the impact on operational budgets, </w:t>
            </w:r>
          </w:p>
          <w:p w14:paraId="7C394DC1" w14:textId="77777777" w:rsidR="007E751F" w:rsidRDefault="007E751F" w:rsidP="007E751F">
            <w:pPr>
              <w:pStyle w:val="ListParagraph"/>
              <w:numPr>
                <w:ilvl w:val="0"/>
                <w:numId w:val="8"/>
              </w:numPr>
              <w:jc w:val="both"/>
            </w:pPr>
            <w:r>
              <w:t>Optimal replacement timing, versus leasing, versus renting considering seasonal operational needs,</w:t>
            </w:r>
          </w:p>
          <w:p w14:paraId="285F7590" w14:textId="193C0D63" w:rsidR="007E751F" w:rsidRDefault="007E751F" w:rsidP="007E751F">
            <w:pPr>
              <w:pStyle w:val="ListParagraph"/>
              <w:numPr>
                <w:ilvl w:val="0"/>
                <w:numId w:val="8"/>
              </w:numPr>
              <w:jc w:val="both"/>
            </w:pPr>
            <w:r>
              <w:t>Recommendations do more to ensure the use of simple eco-driving techniques and better trip planning</w:t>
            </w:r>
          </w:p>
          <w:p w14:paraId="27047270" w14:textId="1F8744A1" w:rsidR="007E751F" w:rsidRDefault="007E751F" w:rsidP="007E751F">
            <w:pPr>
              <w:pStyle w:val="ListParagraph"/>
              <w:numPr>
                <w:ilvl w:val="0"/>
                <w:numId w:val="8"/>
              </w:numPr>
              <w:jc w:val="both"/>
              <w:rPr>
                <w:lang w:bidi="ar-IQ"/>
              </w:rPr>
            </w:pPr>
            <w:r>
              <w:t>How IOM Iraq Fleet Operation compares with similar UN Agencies, and/or private sector organization’s performance measurement criteria and benchmarking information.</w:t>
            </w:r>
          </w:p>
          <w:p w14:paraId="23609381" w14:textId="77777777" w:rsidR="007E751F" w:rsidRDefault="007E751F" w:rsidP="007E751F">
            <w:pPr>
              <w:pStyle w:val="ListParagraph"/>
              <w:ind w:left="360"/>
              <w:jc w:val="both"/>
              <w:rPr>
                <w:lang w:bidi="ar-IQ"/>
              </w:rPr>
            </w:pPr>
          </w:p>
          <w:p w14:paraId="79ED4BF1" w14:textId="77777777" w:rsidR="007E751F" w:rsidRPr="0017122E" w:rsidRDefault="007E751F" w:rsidP="007E751F">
            <w:pPr>
              <w:ind w:right="509"/>
              <w:jc w:val="both"/>
              <w:rPr>
                <w:rFonts w:ascii="Calibri" w:eastAsia="Calibri" w:hAnsi="Calibri" w:cs="Calibri"/>
              </w:rPr>
            </w:pPr>
            <w:r w:rsidRPr="0017122E">
              <w:rPr>
                <w:rFonts w:ascii="Calibri" w:eastAsia="Calibri" w:hAnsi="Calibri" w:cs="Calibri"/>
              </w:rPr>
              <w:t xml:space="preserve">The entire process should be carried out in close consultation with the requesting unit in IOM Iraq, which is the Procurement &amp; Logistics Unit which will also coordinate the other consultation session with other internal units and external parties as well. </w:t>
            </w:r>
          </w:p>
          <w:p w14:paraId="2E10379B" w14:textId="79FEC0CC" w:rsidR="007E751F" w:rsidRDefault="007E751F" w:rsidP="007E751F">
            <w:pPr>
              <w:rPr>
                <w:rtl/>
                <w:lang w:bidi="ar-IQ"/>
              </w:rPr>
            </w:pPr>
          </w:p>
        </w:tc>
      </w:tr>
      <w:tr w:rsidR="007E751F" w14:paraId="39CA1131" w14:textId="77777777" w:rsidTr="00D67016">
        <w:tc>
          <w:tcPr>
            <w:tcW w:w="9350" w:type="dxa"/>
            <w:gridSpan w:val="2"/>
            <w:shd w:val="clear" w:color="auto" w:fill="D9D9D9" w:themeFill="background1" w:themeFillShade="D9"/>
          </w:tcPr>
          <w:p w14:paraId="7D4E240D" w14:textId="4DAC91E2" w:rsidR="007E751F" w:rsidRPr="002B0015" w:rsidRDefault="007E751F" w:rsidP="007E751F">
            <w:pPr>
              <w:pStyle w:val="ListParagraph"/>
              <w:numPr>
                <w:ilvl w:val="0"/>
                <w:numId w:val="7"/>
              </w:numPr>
              <w:ind w:right="-20"/>
              <w:jc w:val="both"/>
              <w:rPr>
                <w:b/>
                <w:bCs/>
              </w:rPr>
            </w:pPr>
            <w:r w:rsidRPr="002B0015">
              <w:rPr>
                <w:rFonts w:ascii="Calibri" w:eastAsia="Calibri" w:hAnsi="Calibri" w:cs="Calibri"/>
                <w:b/>
                <w:bCs/>
              </w:rPr>
              <w:lastRenderedPageBreak/>
              <w:t>ELIGIBILI</w:t>
            </w:r>
            <w:r w:rsidRPr="002B0015">
              <w:rPr>
                <w:rFonts w:ascii="Calibri" w:eastAsia="Calibri" w:hAnsi="Calibri" w:cs="Calibri"/>
                <w:b/>
                <w:bCs/>
                <w:spacing w:val="1"/>
              </w:rPr>
              <w:t>T</w:t>
            </w:r>
            <w:r w:rsidRPr="002B0015">
              <w:rPr>
                <w:rFonts w:ascii="Calibri" w:eastAsia="Calibri" w:hAnsi="Calibri" w:cs="Calibri"/>
                <w:b/>
                <w:bCs/>
              </w:rPr>
              <w:t>Y &amp; REQUIRE</w:t>
            </w:r>
            <w:r w:rsidRPr="002B0015">
              <w:rPr>
                <w:rFonts w:ascii="Calibri" w:eastAsia="Calibri" w:hAnsi="Calibri" w:cs="Calibri"/>
                <w:b/>
                <w:bCs/>
                <w:spacing w:val="2"/>
              </w:rPr>
              <w:t>M</w:t>
            </w:r>
            <w:r w:rsidRPr="002B0015">
              <w:rPr>
                <w:rFonts w:ascii="Calibri" w:eastAsia="Calibri" w:hAnsi="Calibri" w:cs="Calibri"/>
                <w:b/>
                <w:bCs/>
              </w:rPr>
              <w:t>ENTS</w:t>
            </w:r>
          </w:p>
        </w:tc>
      </w:tr>
      <w:tr w:rsidR="007E751F" w14:paraId="496A1A8D" w14:textId="77777777" w:rsidTr="00D67016">
        <w:trPr>
          <w:trHeight w:val="2004"/>
        </w:trPr>
        <w:tc>
          <w:tcPr>
            <w:tcW w:w="9350" w:type="dxa"/>
            <w:gridSpan w:val="2"/>
          </w:tcPr>
          <w:p w14:paraId="10A3C265" w14:textId="6E3E29A3" w:rsidR="007E751F" w:rsidRDefault="007E751F" w:rsidP="007E751F">
            <w:pPr>
              <w:pStyle w:val="ListParagraph"/>
              <w:numPr>
                <w:ilvl w:val="0"/>
                <w:numId w:val="2"/>
              </w:numPr>
              <w:spacing w:line="20" w:lineRule="atLeast"/>
              <w:jc w:val="both"/>
            </w:pPr>
            <w:r>
              <w:t xml:space="preserve">Licensed and specialized in the logistical services field subject of this Call for proposal. </w:t>
            </w:r>
          </w:p>
          <w:p w14:paraId="38588F3F" w14:textId="217F3198" w:rsidR="007E751F" w:rsidRDefault="007E751F" w:rsidP="007E751F">
            <w:pPr>
              <w:pStyle w:val="ListParagraph"/>
              <w:numPr>
                <w:ilvl w:val="0"/>
                <w:numId w:val="2"/>
              </w:numPr>
              <w:spacing w:line="20" w:lineRule="atLeast"/>
              <w:jc w:val="both"/>
            </w:pPr>
            <w:r>
              <w:t xml:space="preserve">Have at least five (5) years’ experience in Fleet Review Management out of which at least one in a context </w:t>
            </w:r>
            <w:proofErr w:type="gramStart"/>
            <w:r>
              <w:t>similar to</w:t>
            </w:r>
            <w:proofErr w:type="gramEnd"/>
            <w:r>
              <w:t xml:space="preserve"> Iraq.</w:t>
            </w:r>
          </w:p>
          <w:p w14:paraId="7EC82FD7" w14:textId="0E69F678" w:rsidR="007E751F" w:rsidRPr="002C208C" w:rsidRDefault="007E751F" w:rsidP="007E751F">
            <w:pPr>
              <w:pStyle w:val="ListParagraph"/>
              <w:numPr>
                <w:ilvl w:val="0"/>
                <w:numId w:val="2"/>
              </w:numPr>
              <w:spacing w:line="20" w:lineRule="atLeast"/>
              <w:jc w:val="both"/>
            </w:pPr>
            <w:r>
              <w:t>Provide at least three (3) References of similar work.</w:t>
            </w:r>
          </w:p>
          <w:p w14:paraId="253F7BD6" w14:textId="20B5F016" w:rsidR="007E751F" w:rsidRDefault="007E751F" w:rsidP="007E751F">
            <w:pPr>
              <w:pStyle w:val="ListParagraph"/>
              <w:numPr>
                <w:ilvl w:val="0"/>
                <w:numId w:val="2"/>
              </w:numPr>
              <w:jc w:val="both"/>
              <w:rPr>
                <w:lang w:bidi="ar-IQ"/>
              </w:rPr>
            </w:pPr>
            <w:r w:rsidRPr="003B22AA">
              <w:rPr>
                <w:rFonts w:ascii="Calibri" w:eastAsia="Calibri" w:hAnsi="Calibri" w:cs="Calibri"/>
              </w:rPr>
              <w:t>The</w:t>
            </w:r>
            <w:r w:rsidRPr="003B22AA">
              <w:rPr>
                <w:rFonts w:ascii="Calibri" w:eastAsia="Calibri" w:hAnsi="Calibri" w:cs="Calibri"/>
                <w:spacing w:val="-3"/>
              </w:rPr>
              <w:t xml:space="preserve"> consulting firm </w:t>
            </w:r>
            <w:r w:rsidRPr="003B22AA">
              <w:rPr>
                <w:rFonts w:ascii="Calibri" w:eastAsia="Calibri" w:hAnsi="Calibri" w:cs="Calibri"/>
              </w:rPr>
              <w:t>selected</w:t>
            </w:r>
            <w:r w:rsidRPr="003B22AA">
              <w:rPr>
                <w:rFonts w:ascii="Calibri" w:eastAsia="Calibri" w:hAnsi="Calibri" w:cs="Calibri"/>
                <w:spacing w:val="-6"/>
              </w:rPr>
              <w:t xml:space="preserve"> </w:t>
            </w:r>
            <w:r w:rsidRPr="003B22AA">
              <w:rPr>
                <w:rFonts w:ascii="Calibri" w:eastAsia="Calibri" w:hAnsi="Calibri" w:cs="Calibri"/>
              </w:rPr>
              <w:t>to</w:t>
            </w:r>
            <w:r w:rsidRPr="003B22AA">
              <w:rPr>
                <w:rFonts w:ascii="Calibri" w:eastAsia="Calibri" w:hAnsi="Calibri" w:cs="Calibri"/>
                <w:spacing w:val="-2"/>
              </w:rPr>
              <w:t xml:space="preserve"> </w:t>
            </w:r>
            <w:r w:rsidRPr="003B22AA">
              <w:rPr>
                <w:rFonts w:ascii="Calibri" w:eastAsia="Calibri" w:hAnsi="Calibri" w:cs="Calibri"/>
                <w:spacing w:val="1"/>
              </w:rPr>
              <w:t>p</w:t>
            </w:r>
            <w:r w:rsidRPr="003B22AA">
              <w:rPr>
                <w:rFonts w:ascii="Calibri" w:eastAsia="Calibri" w:hAnsi="Calibri" w:cs="Calibri"/>
              </w:rPr>
              <w:t>rovide</w:t>
            </w:r>
            <w:r w:rsidRPr="003B22AA">
              <w:rPr>
                <w:rFonts w:ascii="Calibri" w:eastAsia="Calibri" w:hAnsi="Calibri" w:cs="Calibri"/>
                <w:spacing w:val="-7"/>
              </w:rPr>
              <w:t xml:space="preserve"> </w:t>
            </w:r>
            <w:r w:rsidRPr="003B22AA">
              <w:rPr>
                <w:rFonts w:ascii="Calibri" w:eastAsia="Calibri" w:hAnsi="Calibri" w:cs="Calibri"/>
              </w:rPr>
              <w:t xml:space="preserve">the services should be able to operate in Iraq in line with their proposal and assessment mythology to be applied and to be able to closely cooperate with </w:t>
            </w:r>
            <w:r w:rsidRPr="003B22AA">
              <w:rPr>
                <w:rFonts w:ascii="Calibri" w:eastAsia="Calibri" w:hAnsi="Calibri" w:cs="Calibri"/>
              </w:rPr>
              <w:lastRenderedPageBreak/>
              <w:t xml:space="preserve">IOM Iraq staff and </w:t>
            </w:r>
            <w:r>
              <w:rPr>
                <w:rFonts w:ascii="Calibri" w:eastAsia="Calibri" w:hAnsi="Calibri" w:cs="Calibri"/>
              </w:rPr>
              <w:t>o</w:t>
            </w:r>
            <w:r>
              <w:t>ther staff and entities may be brought in or designated to support the project as required.</w:t>
            </w:r>
          </w:p>
          <w:p w14:paraId="5B4A3899" w14:textId="5CF25C6F" w:rsidR="007E751F" w:rsidRPr="007600EE" w:rsidRDefault="007E751F" w:rsidP="007E751F">
            <w:pPr>
              <w:pStyle w:val="ListParagraph"/>
              <w:numPr>
                <w:ilvl w:val="0"/>
                <w:numId w:val="2"/>
              </w:numPr>
              <w:tabs>
                <w:tab w:val="left" w:pos="780"/>
              </w:tabs>
              <w:spacing w:before="22" w:line="258" w:lineRule="auto"/>
              <w:ind w:right="627"/>
              <w:jc w:val="both"/>
              <w:rPr>
                <w:rFonts w:ascii="Calibri" w:eastAsia="Calibri" w:hAnsi="Calibri" w:cs="Calibri"/>
              </w:rPr>
            </w:pPr>
            <w:r>
              <w:rPr>
                <w:rFonts w:ascii="Calibri" w:eastAsia="Calibri" w:hAnsi="Calibri" w:cs="Calibri"/>
              </w:rPr>
              <w:t xml:space="preserve">The company should ensure the services received by IOM under this project is of a high quality and standards and Business Plan &amp; Recommendations are realistic and can be implemented by IOM to its full satisfaction. </w:t>
            </w:r>
          </w:p>
        </w:tc>
      </w:tr>
      <w:tr w:rsidR="007E751F" w14:paraId="557B3384" w14:textId="77777777" w:rsidTr="00D67016">
        <w:tc>
          <w:tcPr>
            <w:tcW w:w="9350" w:type="dxa"/>
            <w:gridSpan w:val="2"/>
            <w:shd w:val="clear" w:color="auto" w:fill="D9D9D9" w:themeFill="background1" w:themeFillShade="D9"/>
          </w:tcPr>
          <w:p w14:paraId="5EC20D0A" w14:textId="2E66F250" w:rsidR="007E751F" w:rsidRPr="007600EE" w:rsidRDefault="007E751F" w:rsidP="007E751F">
            <w:pPr>
              <w:ind w:right="-20"/>
              <w:rPr>
                <w:rFonts w:ascii="Calibri" w:eastAsia="Calibri" w:hAnsi="Calibri" w:cs="Calibri"/>
                <w:b/>
                <w:bCs/>
              </w:rPr>
            </w:pPr>
            <w:r w:rsidRPr="00D73F71">
              <w:rPr>
                <w:rFonts w:ascii="Calibri" w:eastAsia="Calibri" w:hAnsi="Calibri" w:cs="Calibri"/>
                <w:b/>
                <w:bCs/>
              </w:rPr>
              <w:lastRenderedPageBreak/>
              <w:t>CONFIDENTIALITY</w:t>
            </w:r>
            <w:r>
              <w:rPr>
                <w:rFonts w:ascii="Calibri" w:eastAsia="Calibri" w:hAnsi="Calibri" w:cs="Calibri"/>
                <w:b/>
                <w:bCs/>
              </w:rPr>
              <w:t>,</w:t>
            </w:r>
            <w:r w:rsidRPr="00D73F71">
              <w:rPr>
                <w:rFonts w:ascii="Calibri" w:eastAsia="Calibri" w:hAnsi="Calibri" w:cs="Calibri"/>
                <w:b/>
                <w:bCs/>
              </w:rPr>
              <w:t xml:space="preserve"> AND INTELLECTUAL PROPERTY</w:t>
            </w:r>
          </w:p>
        </w:tc>
      </w:tr>
      <w:tr w:rsidR="007E751F" w14:paraId="3DD3E06B" w14:textId="77777777" w:rsidTr="00D67016">
        <w:trPr>
          <w:trHeight w:val="3338"/>
        </w:trPr>
        <w:tc>
          <w:tcPr>
            <w:tcW w:w="9350" w:type="dxa"/>
            <w:gridSpan w:val="2"/>
          </w:tcPr>
          <w:p w14:paraId="6AB955F1" w14:textId="77777777" w:rsidR="007E751F" w:rsidRDefault="007E751F" w:rsidP="007E751F"/>
          <w:p w14:paraId="63230173" w14:textId="77777777" w:rsidR="007E751F" w:rsidRDefault="007E751F" w:rsidP="007E751F">
            <w:pPr>
              <w:pStyle w:val="ListParagraph"/>
              <w:numPr>
                <w:ilvl w:val="0"/>
                <w:numId w:val="7"/>
              </w:numPr>
              <w:spacing w:line="20" w:lineRule="atLeast"/>
              <w:rPr>
                <w:b/>
                <w:bCs/>
              </w:rPr>
            </w:pPr>
            <w:r w:rsidRPr="00D80662">
              <w:rPr>
                <w:b/>
                <w:bCs/>
              </w:rPr>
              <w:t>Confidentiality</w:t>
            </w:r>
          </w:p>
          <w:p w14:paraId="50FB7F21" w14:textId="77777777" w:rsidR="007E751F" w:rsidRDefault="007E751F" w:rsidP="007E751F">
            <w:pPr>
              <w:spacing w:line="20" w:lineRule="atLeast"/>
              <w:jc w:val="both"/>
            </w:pPr>
            <w:r w:rsidRPr="00C5253B">
              <w:t xml:space="preserve"> All information which comes into the Service Provider’s possession or knowledge in connection with this </w:t>
            </w:r>
            <w:r>
              <w:t>project</w:t>
            </w:r>
            <w:r w:rsidRPr="00C5253B">
              <w:t xml:space="preserve"> is to be treated as strictly confidential. The Service Provider shall not communicate such information to any third party without the prior written approval of IOM. The Service Provider shall comply with IOM Data Protection Principles </w:t>
            </w:r>
            <w:proofErr w:type="gramStart"/>
            <w:r w:rsidRPr="00C5253B">
              <w:t>in the event that</w:t>
            </w:r>
            <w:proofErr w:type="gramEnd"/>
            <w:r w:rsidRPr="00C5253B">
              <w:t xml:space="preserve"> it collects, receives, uses, transfers or stores any personal data in the performance of this </w:t>
            </w:r>
            <w:r>
              <w:t>project</w:t>
            </w:r>
            <w:r w:rsidRPr="00C5253B">
              <w:t xml:space="preserve">. </w:t>
            </w:r>
          </w:p>
          <w:p w14:paraId="5B48F379" w14:textId="77777777" w:rsidR="007E751F" w:rsidRPr="00C5253B" w:rsidRDefault="007E751F" w:rsidP="007E751F">
            <w:pPr>
              <w:spacing w:line="20" w:lineRule="atLeast"/>
              <w:jc w:val="both"/>
              <w:rPr>
                <w:b/>
                <w:bCs/>
                <w:rtl/>
                <w:lang w:bidi="ar-IQ"/>
              </w:rPr>
            </w:pPr>
          </w:p>
          <w:p w14:paraId="18B144AC" w14:textId="77777777" w:rsidR="007E751F" w:rsidRPr="00C5253B" w:rsidRDefault="007E751F" w:rsidP="007E751F">
            <w:pPr>
              <w:pStyle w:val="ListParagraph"/>
              <w:numPr>
                <w:ilvl w:val="0"/>
                <w:numId w:val="7"/>
              </w:numPr>
              <w:spacing w:line="20" w:lineRule="atLeast"/>
              <w:rPr>
                <w:b/>
                <w:bCs/>
              </w:rPr>
            </w:pPr>
            <w:r w:rsidRPr="00C5253B">
              <w:rPr>
                <w:b/>
                <w:bCs/>
              </w:rPr>
              <w:t>10. Intellectual Property</w:t>
            </w:r>
          </w:p>
          <w:p w14:paraId="63A43A8C" w14:textId="77777777" w:rsidR="007E751F" w:rsidRDefault="007E751F" w:rsidP="007E751F">
            <w:pPr>
              <w:pStyle w:val="NormalWeb"/>
              <w:jc w:val="both"/>
              <w:rPr>
                <w:rFonts w:asciiTheme="minorHAnsi" w:eastAsiaTheme="minorHAnsi" w:hAnsiTheme="minorHAnsi" w:cstheme="minorBidi"/>
                <w:sz w:val="22"/>
                <w:szCs w:val="22"/>
              </w:rPr>
            </w:pPr>
            <w:r w:rsidRPr="00D80662">
              <w:rPr>
                <w:rFonts w:asciiTheme="minorHAnsi" w:eastAsiaTheme="minorHAnsi" w:hAnsiTheme="minorHAnsi" w:cstheme="minorBidi"/>
                <w:sz w:val="22"/>
                <w:szCs w:val="22"/>
              </w:rPr>
              <w:t xml:space="preserve">All intellectual property and other proprietary rights including, but not limited to, patents, copyrights, trademarks, and ownership of data resulting from the performance of the Services shall be vested in IOM, including, without any limitation, the rights to use, reproduce, adapt, </w:t>
            </w:r>
            <w:proofErr w:type="gramStart"/>
            <w:r w:rsidRPr="00D80662">
              <w:rPr>
                <w:rFonts w:asciiTheme="minorHAnsi" w:eastAsiaTheme="minorHAnsi" w:hAnsiTheme="minorHAnsi" w:cstheme="minorBidi"/>
                <w:sz w:val="22"/>
                <w:szCs w:val="22"/>
              </w:rPr>
              <w:t>publish</w:t>
            </w:r>
            <w:proofErr w:type="gramEnd"/>
            <w:r w:rsidRPr="00D80662">
              <w:rPr>
                <w:rFonts w:asciiTheme="minorHAnsi" w:eastAsiaTheme="minorHAnsi" w:hAnsiTheme="minorHAnsi" w:cstheme="minorBidi"/>
                <w:sz w:val="22"/>
                <w:szCs w:val="22"/>
              </w:rPr>
              <w:t xml:space="preserve"> and distribute any item or part thereof.</w:t>
            </w:r>
          </w:p>
          <w:p w14:paraId="3CF5D407" w14:textId="66B28C32" w:rsidR="007E751F" w:rsidRDefault="007E751F" w:rsidP="007E751F"/>
        </w:tc>
      </w:tr>
    </w:tbl>
    <w:p w14:paraId="0455347A" w14:textId="77777777" w:rsidR="00955682" w:rsidRPr="007600EE" w:rsidRDefault="00955682" w:rsidP="00955682"/>
    <w:p w14:paraId="47FB427E" w14:textId="77777777" w:rsidR="0034716B" w:rsidRDefault="0034716B"/>
    <w:sectPr w:rsidR="0034716B" w:rsidSect="00027CDD">
      <w:headerReference w:type="default" r:id="rId7"/>
      <w:pgSz w:w="12240" w:h="15840"/>
      <w:pgMar w:top="1080" w:right="1440" w:bottom="171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57539" w14:textId="77777777" w:rsidR="005A01E3" w:rsidRDefault="005A01E3" w:rsidP="00F76482">
      <w:pPr>
        <w:spacing w:after="0" w:line="240" w:lineRule="auto"/>
      </w:pPr>
      <w:r>
        <w:separator/>
      </w:r>
    </w:p>
  </w:endnote>
  <w:endnote w:type="continuationSeparator" w:id="0">
    <w:p w14:paraId="107B4C39" w14:textId="77777777" w:rsidR="005A01E3" w:rsidRDefault="005A01E3" w:rsidP="00F76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72 Light">
    <w:panose1 w:val="020B0303030000000003"/>
    <w:charset w:val="00"/>
    <w:family w:val="swiss"/>
    <w:pitch w:val="variable"/>
    <w:sig w:usb0="A00002EF" w:usb1="5000205B" w:usb2="00000008"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5B327" w14:textId="77777777" w:rsidR="005A01E3" w:rsidRDefault="005A01E3" w:rsidP="00F76482">
      <w:pPr>
        <w:spacing w:after="0" w:line="240" w:lineRule="auto"/>
      </w:pPr>
      <w:r>
        <w:separator/>
      </w:r>
    </w:p>
  </w:footnote>
  <w:footnote w:type="continuationSeparator" w:id="0">
    <w:p w14:paraId="445E08EC" w14:textId="77777777" w:rsidR="005A01E3" w:rsidRDefault="005A01E3" w:rsidP="00F764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6A510" w14:textId="23B7745E" w:rsidR="00F76482" w:rsidRDefault="00F76482" w:rsidP="00F76482">
    <w:pPr>
      <w:pStyle w:val="Header"/>
      <w:jc w:val="center"/>
    </w:pPr>
    <w:r>
      <w:rPr>
        <w:rFonts w:cstheme="minorHAnsi"/>
        <w:b/>
        <w:noProof/>
        <w:sz w:val="24"/>
        <w:szCs w:val="24"/>
      </w:rPr>
      <w:drawing>
        <wp:inline distT="0" distB="0" distL="0" distR="0" wp14:anchorId="28C11EFF" wp14:editId="13CEE553">
          <wp:extent cx="1038225" cy="1038225"/>
          <wp:effectExtent l="0" t="0" r="9525" b="9525"/>
          <wp:docPr id="18" name="Picture 1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38225" cy="1038225"/>
                  </a:xfrm>
                  <a:prstGeom prst="rect">
                    <a:avLst/>
                  </a:prstGeom>
                </pic:spPr>
              </pic:pic>
            </a:graphicData>
          </a:graphic>
        </wp:inline>
      </w:drawing>
    </w:r>
  </w:p>
  <w:p w14:paraId="7AEA252A" w14:textId="77777777" w:rsidR="00F76482" w:rsidRDefault="00F76482" w:rsidP="00F76482">
    <w:pPr>
      <w:pStyle w:val="Header"/>
      <w:tabs>
        <w:tab w:val="clear" w:pos="8640"/>
        <w:tab w:val="left" w:pos="4320"/>
      </w:tabs>
      <w:jc w:val="center"/>
      <w:rPr>
        <w:rFonts w:ascii="Calibri" w:hAnsi="Calibri" w:cs="Calibri"/>
        <w:b/>
        <w:bCs/>
        <w:sz w:val="36"/>
        <w:szCs w:val="28"/>
        <w:lang w:val="en-GB"/>
      </w:rPr>
    </w:pPr>
    <w:r>
      <w:rPr>
        <w:rFonts w:ascii="Calibri" w:hAnsi="Calibri" w:cs="Calibri"/>
        <w:b/>
        <w:bCs/>
        <w:sz w:val="36"/>
        <w:szCs w:val="28"/>
        <w:lang w:val="en-GB"/>
      </w:rPr>
      <w:t xml:space="preserve">Request of Proposal </w:t>
    </w:r>
  </w:p>
  <w:p w14:paraId="4FF8127D" w14:textId="21882C16" w:rsidR="00F76482" w:rsidRPr="00F76482" w:rsidRDefault="00027CDD" w:rsidP="00F76482">
    <w:pPr>
      <w:pStyle w:val="Header"/>
      <w:jc w:val="center"/>
      <w:rPr>
        <w:lang w:val="en-GB"/>
      </w:rPr>
    </w:pPr>
    <w:r>
      <w:rPr>
        <w:rFonts w:ascii="72 Light" w:hAnsi="72 Light" w:cs="72 Light"/>
        <w:b/>
        <w:bCs/>
        <w:sz w:val="28"/>
        <w:lang w:val="en-GB"/>
      </w:rPr>
      <w:t>Terms of Reference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E04D1"/>
    <w:multiLevelType w:val="hybridMultilevel"/>
    <w:tmpl w:val="889C36BC"/>
    <w:lvl w:ilvl="0" w:tplc="C6C88BBC">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E114FC7"/>
    <w:multiLevelType w:val="hybridMultilevel"/>
    <w:tmpl w:val="8934338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ED122AD"/>
    <w:multiLevelType w:val="hybridMultilevel"/>
    <w:tmpl w:val="DEB0B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0C46334"/>
    <w:multiLevelType w:val="hybridMultilevel"/>
    <w:tmpl w:val="3B8A8EE0"/>
    <w:lvl w:ilvl="0" w:tplc="A816E502">
      <w:start w:val="1"/>
      <w:numFmt w:val="lowerLetter"/>
      <w:lvlText w:val="%1)"/>
      <w:lvlJc w:val="left"/>
      <w:pPr>
        <w:ind w:left="795" w:hanging="360"/>
      </w:pPr>
      <w:rPr>
        <w:rFonts w:hint="default"/>
      </w:r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4" w15:restartNumberingAfterBreak="0">
    <w:nsid w:val="45620B64"/>
    <w:multiLevelType w:val="hybridMultilevel"/>
    <w:tmpl w:val="512C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1C1769"/>
    <w:multiLevelType w:val="hybridMultilevel"/>
    <w:tmpl w:val="6C1E2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192263"/>
    <w:multiLevelType w:val="hybridMultilevel"/>
    <w:tmpl w:val="C1F6978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1D91D3D"/>
    <w:multiLevelType w:val="hybridMultilevel"/>
    <w:tmpl w:val="7E04C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8226B4"/>
    <w:multiLevelType w:val="hybridMultilevel"/>
    <w:tmpl w:val="DC845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735ECD"/>
    <w:multiLevelType w:val="hybridMultilevel"/>
    <w:tmpl w:val="3D682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4889894">
    <w:abstractNumId w:val="5"/>
  </w:num>
  <w:num w:numId="2" w16cid:durableId="1326855553">
    <w:abstractNumId w:val="2"/>
  </w:num>
  <w:num w:numId="3" w16cid:durableId="1340161606">
    <w:abstractNumId w:val="7"/>
  </w:num>
  <w:num w:numId="4" w16cid:durableId="982200289">
    <w:abstractNumId w:val="4"/>
  </w:num>
  <w:num w:numId="5" w16cid:durableId="430900813">
    <w:abstractNumId w:val="3"/>
  </w:num>
  <w:num w:numId="6" w16cid:durableId="1687635160">
    <w:abstractNumId w:val="8"/>
  </w:num>
  <w:num w:numId="7" w16cid:durableId="2145929284">
    <w:abstractNumId w:val="0"/>
  </w:num>
  <w:num w:numId="8" w16cid:durableId="1381780316">
    <w:abstractNumId w:val="6"/>
  </w:num>
  <w:num w:numId="9" w16cid:durableId="874654275">
    <w:abstractNumId w:val="9"/>
  </w:num>
  <w:num w:numId="10" w16cid:durableId="3982087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682"/>
    <w:rsid w:val="00021012"/>
    <w:rsid w:val="00027CDD"/>
    <w:rsid w:val="00042E29"/>
    <w:rsid w:val="0009789E"/>
    <w:rsid w:val="000E6064"/>
    <w:rsid w:val="0017122E"/>
    <w:rsid w:val="00295BF6"/>
    <w:rsid w:val="002B0015"/>
    <w:rsid w:val="002C208C"/>
    <w:rsid w:val="0034716B"/>
    <w:rsid w:val="003B22AA"/>
    <w:rsid w:val="004C179F"/>
    <w:rsid w:val="00513ECB"/>
    <w:rsid w:val="00580DBC"/>
    <w:rsid w:val="005A01E3"/>
    <w:rsid w:val="00662CF6"/>
    <w:rsid w:val="006A44FB"/>
    <w:rsid w:val="0071646D"/>
    <w:rsid w:val="007476A9"/>
    <w:rsid w:val="00780110"/>
    <w:rsid w:val="007E751F"/>
    <w:rsid w:val="00905065"/>
    <w:rsid w:val="00955682"/>
    <w:rsid w:val="00960AF7"/>
    <w:rsid w:val="009A10AC"/>
    <w:rsid w:val="009D1C71"/>
    <w:rsid w:val="00A033C2"/>
    <w:rsid w:val="00AD7FC4"/>
    <w:rsid w:val="00BF314D"/>
    <w:rsid w:val="00C5253B"/>
    <w:rsid w:val="00C56601"/>
    <w:rsid w:val="00D27BA0"/>
    <w:rsid w:val="00D724A6"/>
    <w:rsid w:val="00D80662"/>
    <w:rsid w:val="00D847A8"/>
    <w:rsid w:val="00E33AEE"/>
    <w:rsid w:val="00E5395B"/>
    <w:rsid w:val="00E62403"/>
    <w:rsid w:val="00E754E4"/>
    <w:rsid w:val="00F76482"/>
    <w:rsid w:val="00F76FB0"/>
    <w:rsid w:val="00FE027D"/>
    <w:rsid w:val="00FE45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A76B9C"/>
  <w15:chartTrackingRefBased/>
  <w15:docId w15:val="{F5856AC2-2E17-4098-8BCD-A96B967E5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6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5682"/>
    <w:pPr>
      <w:tabs>
        <w:tab w:val="center" w:pos="4320"/>
        <w:tab w:val="right" w:pos="8640"/>
      </w:tabs>
      <w:spacing w:after="0" w:line="240" w:lineRule="auto"/>
    </w:pPr>
  </w:style>
  <w:style w:type="character" w:customStyle="1" w:styleId="HeaderChar">
    <w:name w:val="Header Char"/>
    <w:basedOn w:val="DefaultParagraphFont"/>
    <w:link w:val="Header"/>
    <w:uiPriority w:val="99"/>
    <w:rsid w:val="00955682"/>
  </w:style>
  <w:style w:type="table" w:styleId="TableGrid">
    <w:name w:val="Table Grid"/>
    <w:basedOn w:val="TableNormal"/>
    <w:uiPriority w:val="39"/>
    <w:rsid w:val="00955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Bulletr List Paragraph,Colorful List Accent 1,Dot pt,F5 List Paragraph,FooterText,List Paragraph1,List Paragraph2,List Paragraph21,Paragraphe de liste1,Parágrafo da Lista1,Plan,Párrafo de lista1,numbered,リスト段落1,列出段落,列出段落1"/>
    <w:basedOn w:val="Normal"/>
    <w:link w:val="ListParagraphChar"/>
    <w:uiPriority w:val="34"/>
    <w:qFormat/>
    <w:rsid w:val="00955682"/>
    <w:pPr>
      <w:ind w:left="720"/>
      <w:contextualSpacing/>
    </w:pPr>
  </w:style>
  <w:style w:type="character" w:customStyle="1" w:styleId="ListParagraphChar">
    <w:name w:val="List Paragraph Char"/>
    <w:aliases w:val="???? Char,Bullet List Char,Bulletr List Paragraph Char,Colorful List Accent 1 Char,Dot pt Char,F5 List Paragraph Char,FooterText Char,List Paragraph1 Char,List Paragraph2 Char,List Paragraph21 Char,Paragraphe de liste1 Char,Plan Char"/>
    <w:link w:val="ListParagraph"/>
    <w:uiPriority w:val="34"/>
    <w:locked/>
    <w:rsid w:val="00955682"/>
  </w:style>
  <w:style w:type="paragraph" w:styleId="Footer">
    <w:name w:val="footer"/>
    <w:basedOn w:val="Normal"/>
    <w:link w:val="FooterChar"/>
    <w:uiPriority w:val="99"/>
    <w:unhideWhenUsed/>
    <w:rsid w:val="00F764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482"/>
  </w:style>
  <w:style w:type="paragraph" w:styleId="NormalWeb">
    <w:name w:val="Normal (Web)"/>
    <w:basedOn w:val="Normal"/>
    <w:uiPriority w:val="99"/>
    <w:unhideWhenUsed/>
    <w:rsid w:val="00D806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257760">
      <w:bodyDiv w:val="1"/>
      <w:marLeft w:val="0"/>
      <w:marRight w:val="0"/>
      <w:marTop w:val="0"/>
      <w:marBottom w:val="0"/>
      <w:divBdr>
        <w:top w:val="none" w:sz="0" w:space="0" w:color="auto"/>
        <w:left w:val="none" w:sz="0" w:space="0" w:color="auto"/>
        <w:bottom w:val="none" w:sz="0" w:space="0" w:color="auto"/>
        <w:right w:val="none" w:sz="0" w:space="0" w:color="auto"/>
      </w:divBdr>
    </w:div>
    <w:div w:id="1571378179">
      <w:bodyDiv w:val="1"/>
      <w:marLeft w:val="0"/>
      <w:marRight w:val="0"/>
      <w:marTop w:val="0"/>
      <w:marBottom w:val="0"/>
      <w:divBdr>
        <w:top w:val="none" w:sz="0" w:space="0" w:color="auto"/>
        <w:left w:val="none" w:sz="0" w:space="0" w:color="auto"/>
        <w:bottom w:val="none" w:sz="0" w:space="0" w:color="auto"/>
        <w:right w:val="none" w:sz="0" w:space="0" w:color="auto"/>
      </w:divBdr>
    </w:div>
    <w:div w:id="1769931352">
      <w:bodyDiv w:val="1"/>
      <w:marLeft w:val="0"/>
      <w:marRight w:val="0"/>
      <w:marTop w:val="0"/>
      <w:marBottom w:val="0"/>
      <w:divBdr>
        <w:top w:val="none" w:sz="0" w:space="0" w:color="auto"/>
        <w:left w:val="none" w:sz="0" w:space="0" w:color="auto"/>
        <w:bottom w:val="none" w:sz="0" w:space="0" w:color="auto"/>
        <w:right w:val="none" w:sz="0" w:space="0" w:color="auto"/>
      </w:divBdr>
    </w:div>
    <w:div w:id="1788155699">
      <w:bodyDiv w:val="1"/>
      <w:marLeft w:val="0"/>
      <w:marRight w:val="0"/>
      <w:marTop w:val="0"/>
      <w:marBottom w:val="0"/>
      <w:divBdr>
        <w:top w:val="none" w:sz="0" w:space="0" w:color="auto"/>
        <w:left w:val="none" w:sz="0" w:space="0" w:color="auto"/>
        <w:bottom w:val="none" w:sz="0" w:space="0" w:color="auto"/>
        <w:right w:val="none" w:sz="0" w:space="0" w:color="auto"/>
      </w:divBdr>
    </w:div>
    <w:div w:id="2025015175">
      <w:bodyDiv w:val="1"/>
      <w:marLeft w:val="0"/>
      <w:marRight w:val="0"/>
      <w:marTop w:val="0"/>
      <w:marBottom w:val="0"/>
      <w:divBdr>
        <w:top w:val="none" w:sz="0" w:space="0" w:color="auto"/>
        <w:left w:val="none" w:sz="0" w:space="0" w:color="auto"/>
        <w:bottom w:val="none" w:sz="0" w:space="0" w:color="auto"/>
        <w:right w:val="none" w:sz="0" w:space="0" w:color="auto"/>
      </w:divBdr>
    </w:div>
    <w:div w:id="209801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GHALEB Faroq Mohammed Hazaea</dc:creator>
  <cp:keywords/>
  <dc:description/>
  <cp:lastModifiedBy>GHALEB Faroq Mohammed Hazaea</cp:lastModifiedBy>
  <cp:revision>3</cp:revision>
  <dcterms:created xsi:type="dcterms:W3CDTF">2022-07-23T13:50:00Z</dcterms:created>
  <dcterms:modified xsi:type="dcterms:W3CDTF">2022-07-23T15:04:00Z</dcterms:modified>
</cp:coreProperties>
</file>